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прекращении производства по делу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7"/>
          <w:szCs w:val="27"/>
        </w:rPr>
        <w:t>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ст.19.5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 общества с ограниченной ответственностью «РМ»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(далее-ООО «РМ»)</w:t>
      </w:r>
      <w:r>
        <w:rPr>
          <w:rFonts w:ascii="Times New Roman" w:eastAsia="Times New Roman" w:hAnsi="Times New Roman" w:cs="Times New Roman"/>
          <w:sz w:val="27"/>
          <w:szCs w:val="27"/>
        </w:rPr>
        <w:t>, юридический адр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ул.Дунина-</w:t>
      </w:r>
      <w:r>
        <w:rPr>
          <w:rFonts w:ascii="Times New Roman" w:eastAsia="Times New Roman" w:hAnsi="Times New Roman" w:cs="Times New Roman"/>
          <w:sz w:val="27"/>
          <w:szCs w:val="27"/>
        </w:rPr>
        <w:t>Горкавича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д.6, ИНН: 8601068865, КПП: 860101001,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нарушении №86012515300010200001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02.06.2025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«РМ»,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Дунина-Горкавича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sz w:val="27"/>
          <w:szCs w:val="27"/>
        </w:rPr>
        <w:t>24:00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предписания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 от 25.02.2025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выявленных нарушений требований законодательства Российской Федерации о применении контрольно-кассовой техники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выданного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МИ ФНС России №1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именно, </w:t>
      </w:r>
      <w:r>
        <w:rPr>
          <w:rFonts w:ascii="Times New Roman" w:eastAsia="Times New Roman" w:hAnsi="Times New Roman" w:cs="Times New Roman"/>
          <w:sz w:val="27"/>
          <w:szCs w:val="27"/>
        </w:rPr>
        <w:t>не проведена операция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«чек коррекции»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контрольно-кассовой технике на всю неучтенную сумму выручки по дату формирования чека-коррекции </w:t>
      </w:r>
      <w:r>
        <w:rPr>
          <w:rFonts w:ascii="Times New Roman" w:eastAsia="Times New Roman" w:hAnsi="Times New Roman" w:cs="Times New Roman"/>
          <w:sz w:val="27"/>
          <w:szCs w:val="27"/>
        </w:rPr>
        <w:t>по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есту осуществления деятельности,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Законный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редставитель ООО «РМ»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  <w:sz w:val="27"/>
          <w:szCs w:val="27"/>
        </w:rPr>
        <w:t>мени судебного заседания юридическое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извещалось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об отложении судебного заседания суду не поступило.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>законного представителя О</w:t>
      </w:r>
      <w:r>
        <w:rPr>
          <w:rFonts w:ascii="Times New Roman" w:eastAsia="Times New Roman" w:hAnsi="Times New Roman" w:cs="Times New Roman"/>
          <w:sz w:val="27"/>
          <w:szCs w:val="27"/>
        </w:rPr>
        <w:t>ОО «РМ».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25.1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ч.1 ст.28.2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совершении административного правонарушения составляется </w:t>
      </w:r>
      <w:hyperlink r:id="rId4" w:anchor="/document/407122554/entry/3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протокол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положений частей 2, 3, 4, 4.1 и 6 ст.28.2 КоАП РФ в протоколе об административном правонарушении указываются дата и место его составления,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должность, фамилия и инициалы лица, составившего протокол,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(ч.3 ст.28.2).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(ч.4 ст.28.2).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если они извещены в установленном порядке,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(ч.4.1 ст.28.2).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(ч.6 ст.28.2).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Содержание вышеперечисленных норм свидетельствует о том, что основным условием возбуждения дела в отсутствие лица, привлекаемого к административной ответственности, является надлежащее извещение этого лица о времени и месте составления протокола, а также предоставление ему возможности реализовать свои права.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25.15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лица, участвующие в производстве по делу об административном правонарушении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смыслу закона (пункт 6 п</w:t>
      </w:r>
      <w:r>
        <w:rPr>
          <w:rFonts w:ascii="Times New Roman" w:eastAsia="Times New Roman" w:hAnsi="Times New Roman" w:cs="Times New Roman"/>
          <w:sz w:val="27"/>
          <w:szCs w:val="27"/>
        </w:rPr>
        <w:t>остановления Пленума Верховного Суда Российской Федерации от 24 марта 2005 года № 5),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выше нормы возлагают на лицо, осуществляющее производство по делу об административном правонарушении, обязанность извещать лицо, привлекаемое к административной ответственности, о времени и месте рассмотрения дела посредством любым из средств связи, позволяющим контролировать получение извещения адресатом.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признания извещения участника производства по делу об административном правонарушении надлежащим в случае неполучения им судебной корреспонденции необходимо проверить, соблюден ли установленный порядок доставки и </w:t>
      </w:r>
      <w:r>
        <w:rPr>
          <w:rFonts w:ascii="Times New Roman" w:eastAsia="Times New Roman" w:hAnsi="Times New Roman" w:cs="Times New Roman"/>
          <w:sz w:val="27"/>
          <w:szCs w:val="27"/>
        </w:rPr>
        <w:t>вручения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направленного лицу, в отношении которого ведется производство по делу, уведомления о судебном заседании.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пунктом 34 Приказа </w:t>
      </w:r>
      <w:r>
        <w:rPr>
          <w:rFonts w:ascii="Times New Roman" w:eastAsia="Times New Roman" w:hAnsi="Times New Roman" w:cs="Times New Roman"/>
          <w:sz w:val="27"/>
          <w:szCs w:val="27"/>
        </w:rPr>
        <w:t>Минцифры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от 17 апреля 2023 года № 382 «Об утверждении Правил оказания услуг почтовой связи» почтовые отправления федеральных судов и мировых судей субъектов Российской Федерации, содержащих вложения в виде судебных извещений (судебных повесток), копий судебных актов (в том числе определений, решений, постановлений судов), судебных дел (материалов), исполнительных документов), а также почтовые отправления, направляемые в ходе производства по делам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«административное») при невозможности их вручения адресатам (их уполномоченным представителям) хранятся в объектах почтовой связи места назначения в течение 7 календарных дней.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исчислении срока хранения почтовых отправлений разряда «судебное» и разряда «административное»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требования закона не были соблюдены должностным лицом административного органа 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составлении протокола об административном правонарушении в отношении ООО «РМ», протокол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отсутствие лица,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этом, сведений об извещении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«РМ», </w:t>
      </w:r>
      <w:r>
        <w:rPr>
          <w:rFonts w:ascii="Times New Roman" w:eastAsia="Times New Roman" w:hAnsi="Times New Roman" w:cs="Times New Roman"/>
          <w:sz w:val="27"/>
          <w:szCs w:val="27"/>
        </w:rPr>
        <w:t>равно как и ходатайства о рассмотрении дела без участия лица, привлеченного к административной ответственности, материалы настоящего дела не содержат.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составление протокола об административном правонарушении назначено 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02.05.2025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14 час.00 мин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ул.Дзержинского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д.2 каб.224, что подтверждается копией уведомления от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21.05.2025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ООО «РМ» по адресу регистрации: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ул.Дунина-Горкавича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д.6 направлено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 о времени и месте рассмотрения дела, которое согласно данным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почтового идентификатора №80100309922570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размещенным на официальном сайте Почты России, поступило в отделение почтовой связи по месту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27.05.2025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29.05.2025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передано почтальону, </w:t>
      </w:r>
      <w:r>
        <w:rPr>
          <w:rFonts w:ascii="Times New Roman" w:eastAsia="Times New Roman" w:hAnsi="Times New Roman" w:cs="Times New Roman"/>
          <w:sz w:val="27"/>
          <w:szCs w:val="27"/>
        </w:rPr>
        <w:t>31.05.2025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состоя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лась неудачная попытка вручения, 04.06.2025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корреспонденция возвращена отправителю ввиду истечения срока хранения, то есть после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составления протокола об административном правонарушении.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истечения семидневного срока </w:t>
      </w:r>
      <w:r>
        <w:rPr>
          <w:rFonts w:ascii="Times New Roman" w:eastAsia="Times New Roman" w:hAnsi="Times New Roman" w:cs="Times New Roman"/>
          <w:sz w:val="27"/>
          <w:szCs w:val="27"/>
        </w:rPr>
        <w:t>хранения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ООО «РМ»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уведомления о времени и месте рассмотрения и при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сутствии сведений о получении юридическим лицом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месте и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составления протокола, при этом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 должностного лица отсутствовали сведения о надлежащем извещении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Кроме того, составление протокола об административном правонарушении согласно уведомления назначено на 02.05.2025, при том, что уведомление направлено ООО «РМ» 21.05.2025, то есть после даты составления протокола.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Каких-либо иных доказательств надлежащего извещения лица, привлекаемого к административной ответственности,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«РМ»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участие 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нарушено, что является существе</w:t>
      </w:r>
      <w:r>
        <w:rPr>
          <w:rFonts w:ascii="Times New Roman" w:eastAsia="Times New Roman" w:hAnsi="Times New Roman" w:cs="Times New Roman"/>
          <w:sz w:val="27"/>
          <w:szCs w:val="27"/>
        </w:rPr>
        <w:t>нным процессуальным нарушением.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ч.3 ст.26.2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процессуальных требований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КоАП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РФ, допущенное при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правонарушении, является существенным, влекущим признание данного доказательства недопустимым.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настоящее время возможность устранения недостатков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утрачена, возвращение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составившему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его должностному лицу после начала рассмотрения дела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 нормами КоАП РФ не предусмотрено, устранение указанного выше нарушения на стадии рассмотрения дела невозможно.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Исключение из числа доказательств протокола об административном правонарушении влечет невозможность привлечения лица к административной ответственности.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ст.118, ч.3 ст.123 Конституции РФ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обвинения в совершении правонарушения возлагается на административный орган.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«РМ»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подлежит прекращ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ению, в связи с отсутствием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ч.1 ст.19.5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изложенного, руководствуясь ч.2 ст.24.5, ст.29.10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прекратить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«РМ»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п.2 ч.1 ст.24.5 КоАП РФ, в связи с отсутствием состава административного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я, предусмотренного ч.1 ст.19.5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Ю.Б. Миненко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40815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2304-6937-4E6A-A12A-4DB51FEA248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